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6E47B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E47B6" w:rsidRDefault="00D562E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E47B6" w:rsidRDefault="00D562E7">
            <w:pPr>
              <w:spacing w:after="0" w:line="240" w:lineRule="auto"/>
            </w:pPr>
            <w:r>
              <w:t>3148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E47B6" w:rsidRDefault="00D562E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E47B6" w:rsidRDefault="00D562E7">
            <w:pPr>
              <w:spacing w:after="0" w:line="240" w:lineRule="auto"/>
            </w:pPr>
            <w:r>
              <w:t>ZATVORSKA BOLNICA U ZAGREBU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E47B6" w:rsidRDefault="00D562E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E47B6" w:rsidRDefault="00D562E7">
            <w:pPr>
              <w:spacing w:after="0" w:line="240" w:lineRule="auto"/>
            </w:pPr>
            <w:r>
              <w:t>11</w:t>
            </w:r>
          </w:p>
        </w:tc>
      </w:tr>
    </w:tbl>
    <w:p w:rsidR="006E47B6" w:rsidRDefault="00D562E7">
      <w:r>
        <w:br/>
      </w:r>
    </w:p>
    <w:p w:rsidR="006E47B6" w:rsidRDefault="00D562E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E47B6" w:rsidRDefault="00D562E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E47B6" w:rsidRDefault="00D562E7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4.082.578,67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4.446.307,37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4.041.505,85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4.672.795,54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6E4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226.488,17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29.875,44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119.001,25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398,3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6E4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29.875,44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119.001,25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398,3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6E4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6E4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345.489,42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Osnovna djelatnost: Zatvorska bolnica u Zagrebu je kaznionica u </w:t>
      </w:r>
      <w:r>
        <w:t xml:space="preserve">sastavu Uprave za zatvorski sustav i </w:t>
      </w:r>
      <w:proofErr w:type="spellStart"/>
      <w:r>
        <w:t>probaciju</w:t>
      </w:r>
      <w:proofErr w:type="spellEnd"/>
      <w:r>
        <w:t>, Ministarstva pravosuđa, uprave i digitalne transformacije, u kojoj se izdržava kazna zatvora i uz kaznu izrečena i sigurnosna mjera obveznog psihijatrijskog liječenja, kao i pružanje zdravstvene zaštite obolj</w:t>
      </w:r>
      <w:r>
        <w:t>elim zatvorenicima kojima je indicirano liječenje te zbrinjavanje bolesnika oboljelih od širokog spektra bolesti.</w:t>
      </w:r>
    </w:p>
    <w:p w:rsidR="006E47B6" w:rsidRDefault="00D562E7">
      <w:r>
        <w:br/>
      </w:r>
    </w:p>
    <w:p w:rsidR="006E47B6" w:rsidRDefault="00D562E7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4.082.578,67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4.446.307,37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6 PRIHODI POSLOVANJA - ostvareni prihodi poslovanja na dan 30. rujna 2025. godine veći su za 8,9 % u odnosu na prethodno izvještajno </w:t>
      </w:r>
      <w:r>
        <w:t xml:space="preserve">razdoblje, a sastoje se od pozicija: Šifra 64 - Prihodi od imovine - povećanje od 1,8 % Šifra 66 - Prihod od prodaje proizvoda i robe te pruženih usluga, prihodi od donacija te povrati po protestiranim jamstvima - umanjenje od 38,4 % u odnosu na prethodno </w:t>
      </w:r>
      <w:r>
        <w:t>izvještajno razdoblje, razlog: uputa SU radi ujednačenosti u evidentiranju i izvještavanju od 29. travnja 2025. godine, prema kojoj se rabat, prihod od prodaje otpada, prihod od naknada šteta zatvorenika, ostalo knjiži na konto 6831 Šifra 67 - Prihodi iz n</w:t>
      </w:r>
      <w:r>
        <w:t>adležnog proračuna i od HZZO-a na temelju ugovornih obveza - povećanje od 8,8 % u odnosu na prethodno izvještajno razdoblje, što je posljedica kontinuiranog povećanja broja zatvorenika, te rasta cijena. Šifra 68 - Kazne, upravne mjere i ostali prihodi - up</w:t>
      </w:r>
      <w:r>
        <w:t xml:space="preserve">uta SU radi ujednačenosti u evidentiranju i izvještavanju od 29. travnja 2025. godine, prema kojoj se rabat, prihod od prodaje otpada, prihod od naknada šteta zatvorenika, ostalo knjiži na konto 6831 - prihod ostvaren u iznosu od 4.564,28 </w:t>
      </w:r>
      <w:proofErr w:type="spellStart"/>
      <w:r>
        <w:t>eur</w:t>
      </w:r>
      <w:proofErr w:type="spellEnd"/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</w:t>
            </w:r>
            <w:r>
              <w:rPr>
                <w:sz w:val="18"/>
              </w:rPr>
              <w:t>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1.471,91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61,6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>Šifra 66 Prihod od prodaje proizvoda i robe te pruženih usluga, prihodi od donacija te povrati po protestiranim jamstvima - umanjenje od 38,4 % u odnosu na prethodno izvještajno razdoblje,</w:t>
      </w:r>
      <w:r>
        <w:t xml:space="preserve"> razlog: uputa SU radi ujednačenosti u evidentiranju i izvještavanju od 29. travnja 2025. godine, prema kojoj se rabat, prihod od prodaje otpada, prihod od naknada šteta zatvorenika, ostalo knjiži na konto 6831. Šifra 66 sastoji se od: - konta 66151 Prihod</w:t>
      </w:r>
      <w:r>
        <w:t xml:space="preserve"> od pruženih usluga - fotokopiranje - u iznosu od 22,80 </w:t>
      </w:r>
      <w:proofErr w:type="spellStart"/>
      <w:r>
        <w:t>eur</w:t>
      </w:r>
      <w:proofErr w:type="spellEnd"/>
      <w:r>
        <w:t xml:space="preserve"> - konta 661511 Prihod od pruženih usluga - </w:t>
      </w:r>
      <w:proofErr w:type="spellStart"/>
      <w:r>
        <w:t>sprovođenje</w:t>
      </w:r>
      <w:proofErr w:type="spellEnd"/>
      <w:r>
        <w:t xml:space="preserve"> - u iznosu od 520,00 </w:t>
      </w:r>
      <w:proofErr w:type="spellStart"/>
      <w:r>
        <w:t>eur</w:t>
      </w:r>
      <w:proofErr w:type="spellEnd"/>
      <w:r>
        <w:t xml:space="preserve"> - konta 661513 Prihod od najma za aparate - u iznosu od 929,11 </w:t>
      </w:r>
      <w:proofErr w:type="spellStart"/>
      <w:r>
        <w:t>eur</w:t>
      </w:r>
      <w:proofErr w:type="spellEnd"/>
      <w:r>
        <w:t>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29.763,32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112.990,39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379,6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6712 </w:t>
      </w:r>
      <w:r>
        <w:t xml:space="preserve">Prihodi iz nadležnog proračuna za financiranje rashoda za nabavu nefinancijske imovine - veći su za 279,6 % u odnosu na prethodno izvještajno razdoblje, a isti iznose </w:t>
      </w:r>
      <w:r>
        <w:lastRenderedPageBreak/>
        <w:t xml:space="preserve">112.990,39 </w:t>
      </w:r>
      <w:proofErr w:type="spellStart"/>
      <w:r>
        <w:t>eur</w:t>
      </w:r>
      <w:proofErr w:type="spellEnd"/>
      <w:r>
        <w:t>. Navedeno povećanje je jednim dijelom iz razloga zbog potrebe povećanja ka</w:t>
      </w:r>
      <w:r>
        <w:t xml:space="preserve">paciteta za zbrinjavanje OLS-a, te je u tijeku postupak rekonstrukcije II. kata gdje se liječničke ordinacije </w:t>
      </w:r>
      <w:proofErr w:type="spellStart"/>
      <w:r>
        <w:t>prenamjenjuju</w:t>
      </w:r>
      <w:proofErr w:type="spellEnd"/>
      <w:r>
        <w:t xml:space="preserve"> u zatvoreničke ćelije, a kirurška sala u liječničke urede, te u nabavci osobnog automobila.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181.819,41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316.079,17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173,8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>Ukupno povećanje prekovremenih sati u izvještajnom razdoblju 2025.</w:t>
      </w:r>
      <w:r>
        <w:t xml:space="preserve"> godine posljedica je kombinacije manjka operativno dostupnih ovlaštenih službenika, značajnog porasta opsega zadataka, te strukturne naravi rada u turnusu – uz dodatne zahtjeve za sigurnošću i tretmanima, što je sve zajedno rezultiralo povećanom potrebom </w:t>
      </w:r>
      <w:r>
        <w:t>za prekovremenim radom službenika. Također,  povećanje u odnosu na prethodno izvještajno razdoblje je i rezultat ukidanja kontinuiranih rashoda budućih razdoblja, odnosno primjene novog Pravilnika o proračunskom računovodstvu i računskom planu.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44.124,97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63.985,44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145,0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3223 Energija - povećanje u iznosu od 45 % u </w:t>
      </w:r>
      <w:r>
        <w:t xml:space="preserve">odnosu na prošlo izvještajno razdoblje, povećanje potrošnje i cijene energenata. Konto 32231 Električna energija - 20.346,68 </w:t>
      </w:r>
      <w:proofErr w:type="spellStart"/>
      <w:r>
        <w:t>eur</w:t>
      </w:r>
      <w:proofErr w:type="spellEnd"/>
      <w:r>
        <w:t xml:space="preserve"> Konto 32233 Plin - 40.388,95 </w:t>
      </w:r>
      <w:proofErr w:type="spellStart"/>
      <w:r>
        <w:t>eur</w:t>
      </w:r>
      <w:proofErr w:type="spellEnd"/>
      <w:r>
        <w:t xml:space="preserve"> Konto 32234 Motorni benzin i dizel gorivo - 3.249,81eur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2542,8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3225 Sitni inventar i </w:t>
      </w:r>
      <w:proofErr w:type="spellStart"/>
      <w:r>
        <w:t>autogume</w:t>
      </w:r>
      <w:proofErr w:type="spellEnd"/>
      <w:r>
        <w:t xml:space="preserve"> - povećanje za 2442,8 % u odnosu</w:t>
      </w:r>
      <w:r>
        <w:t xml:space="preserve"> na prethodno izvještajno razdoblje: Konto 32251 Sitni inventar u iznosu od 6.268,42 </w:t>
      </w:r>
      <w:proofErr w:type="spellStart"/>
      <w:r>
        <w:t>eur</w:t>
      </w:r>
      <w:proofErr w:type="spellEnd"/>
      <w:r>
        <w:t xml:space="preserve"> - nabavka lonaca, </w:t>
      </w:r>
      <w:proofErr w:type="spellStart"/>
      <w:r>
        <w:t>štapnog</w:t>
      </w:r>
      <w:proofErr w:type="spellEnd"/>
      <w:r>
        <w:t xml:space="preserve"> miksera za </w:t>
      </w:r>
      <w:proofErr w:type="spellStart"/>
      <w:r>
        <w:t>Pododsjek</w:t>
      </w:r>
      <w:proofErr w:type="spellEnd"/>
      <w:r>
        <w:t xml:space="preserve"> prehrane, tv prijamnika za zatvoreničke sobe, stolice za potrebe vađenja krvi, telefona za potrebe službenika, vatrogasn</w:t>
      </w:r>
      <w:r>
        <w:t xml:space="preserve">og aparata, nabava uredskih stolica, kupaonskog namještaja, opremanje hladnjacima za pojedine zatvoreničkih ćelija, nabava medicinskog pribora poput stetoskopa, </w:t>
      </w:r>
      <w:proofErr w:type="spellStart"/>
      <w:r>
        <w:t>oksimetra</w:t>
      </w:r>
      <w:proofErr w:type="spellEnd"/>
      <w:r>
        <w:t xml:space="preserve">, toplomjera itd. Konto 32252 </w:t>
      </w:r>
      <w:proofErr w:type="spellStart"/>
      <w:r>
        <w:t>Autogume</w:t>
      </w:r>
      <w:proofErr w:type="spellEnd"/>
      <w:r>
        <w:t xml:space="preserve"> u iznosu od 1.040, 00 - nabavka novih </w:t>
      </w:r>
      <w:proofErr w:type="spellStart"/>
      <w:r>
        <w:t>autoguma</w:t>
      </w:r>
      <w:proofErr w:type="spellEnd"/>
      <w:r>
        <w:t xml:space="preserve"> </w:t>
      </w:r>
      <w:r>
        <w:t xml:space="preserve">za dva nova specijalna vozila (Specijalno vozilo karavan </w:t>
      </w:r>
      <w:proofErr w:type="spellStart"/>
      <w:r>
        <w:t>Astra</w:t>
      </w:r>
      <w:proofErr w:type="spellEnd"/>
      <w:r>
        <w:t>).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Službena, radna i </w:t>
            </w:r>
            <w:r>
              <w:rPr>
                <w:sz w:val="18"/>
              </w:rPr>
              <w:t>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2.458,56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833,9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3227 Službena, radna i zaštitna odjeća i obuća - povećanje od 733,9% nastalo uslijed nabave radne odjeće i obuće za novo radno angažirane OLS, zatim za osoblje u </w:t>
      </w:r>
      <w:proofErr w:type="spellStart"/>
      <w:r>
        <w:t>Pododsjeku</w:t>
      </w:r>
      <w:proofErr w:type="spellEnd"/>
      <w:r>
        <w:t xml:space="preserve"> prehrane i godišnja </w:t>
      </w:r>
      <w:r>
        <w:t>nabavka radne i zaštitne odjeće i obuće za Odjel zdravstvene zaštite zatvorenika.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21.859,98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29.438,20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>Šifra 3232 Usluge tekućeg i investicijskog održavanja - povećanje od 34,7 % radi održavanja dotrajalih kanalizacijskih odvoda, zastarjele opreme, vozila.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9.332,30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265,4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3236 - Zdravstvene i veterinarske </w:t>
      </w:r>
      <w:r>
        <w:t>usluge - povećanje od 165,4 % , nastalo uslijed povećanja broja zatvorenika i povećane potrebe za uslugama vanjskih zdravstvenih ustanova.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54.516,69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123.959,01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227,4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lastRenderedPageBreak/>
        <w:t xml:space="preserve">Šifra 3237- Intelektualne i osobne usluge , povećanje od 127,4 % nastalo uslijed povećanja visine naknade po ugovorima o povjerenim </w:t>
      </w:r>
      <w:r>
        <w:t>poslovima pružateljima povjerenih poslova za potrebe tijela u zatvorskom sustavu, te iz razloga povećanja broja pružatelja povjerenih poslova.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29.875,44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119.001,25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398,3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4- Rashodi za nabavu nefinancijske imovine veći su za 298,3 % u odnosu na prethodno izvještajno </w:t>
      </w:r>
      <w:r>
        <w:t xml:space="preserve">razdoblje, a isti iznose 119.001,25  </w:t>
      </w:r>
      <w:proofErr w:type="spellStart"/>
      <w:r>
        <w:t>eur</w:t>
      </w:r>
      <w:proofErr w:type="spellEnd"/>
      <w:r>
        <w:t xml:space="preserve">. Navedeno povećanje je jednim dijelom iz razloga zbog potrebe povećanja kapaciteta za zbrinjavanje OLS-a, te je u tijeku postupak rekonstrukcije II. kata gdje se liječničke ordinacije </w:t>
      </w:r>
      <w:proofErr w:type="spellStart"/>
      <w:r>
        <w:t>prenamjenjuju</w:t>
      </w:r>
      <w:proofErr w:type="spellEnd"/>
      <w:r>
        <w:t xml:space="preserve"> u zatvoreničke će</w:t>
      </w:r>
      <w:r>
        <w:t>lije, a kirurška sala u liječničke urede, te u nabavci osobnog automobila.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27.268,66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53.889,46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197,6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42-  Rashodi za nabavu proizvedene dugotrajne imovine - veći su za 97,6 % u odnosu na prethodno izvještajno razdoblje, a isti iznose 53.889,46 </w:t>
      </w:r>
      <w:proofErr w:type="spellStart"/>
      <w:r>
        <w:t>eur</w:t>
      </w:r>
      <w:proofErr w:type="spellEnd"/>
      <w:r>
        <w:t xml:space="preserve">. </w:t>
      </w:r>
      <w:r>
        <w:t>Navedeno povećanje je iz razloga što se u izvještajnom razdoblju izvršila nabavka osobnog automobila za potrebe Zatvorske bolnice u Zagrebu.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24.767,98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423 Prijevozna sredstva – u ovoj godini iznose 24.767,98 </w:t>
      </w:r>
      <w:proofErr w:type="spellStart"/>
      <w:r>
        <w:t>eur</w:t>
      </w:r>
      <w:proofErr w:type="spellEnd"/>
      <w:r>
        <w:t xml:space="preserve">, dok je u prethodnom obračunskom razdoblju ista iznosila 0,00 </w:t>
      </w:r>
      <w:proofErr w:type="spellStart"/>
      <w:r>
        <w:t>eur</w:t>
      </w:r>
      <w:proofErr w:type="spellEnd"/>
      <w:r>
        <w:t xml:space="preserve">, a </w:t>
      </w:r>
      <w:r>
        <w:t xml:space="preserve">nabavljeno je novo osobno vozilo za potrebe Zatvorske bolnice u Zagrebu. 1. 4231 – Prijevozna sredstva u cestovnom prometu – nabavka osobnog automobila u iznosu od 24.767,98 </w:t>
      </w:r>
      <w:proofErr w:type="spellStart"/>
      <w:r>
        <w:t>eur</w:t>
      </w:r>
      <w:proofErr w:type="spellEnd"/>
      <w:r>
        <w:t>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dodatna ulaganja na 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2.606,78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65.111,79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2497,8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451 Dodatna ulaganja na građevinskim objektima iznosi </w:t>
      </w:r>
      <w:r>
        <w:t xml:space="preserve">65.111,79 eura, dok u prethodnom obračunskom razdoblju ista iznosi 2.606.,78 </w:t>
      </w:r>
      <w:proofErr w:type="spellStart"/>
      <w:r>
        <w:t>eur</w:t>
      </w:r>
      <w:proofErr w:type="spellEnd"/>
      <w:r>
        <w:t>. Glavni razlog povećanja je rekonstrukcija II. kata , a u cilju povećanja smještajnih kapaciteta OLS-a.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54.516,69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123.646,51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226,8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32372 Ugovori o djelu - povećanje od 126,8 % i iznosi 123.646,51 </w:t>
      </w:r>
      <w:proofErr w:type="spellStart"/>
      <w:r>
        <w:t>eur</w:t>
      </w:r>
      <w:proofErr w:type="spellEnd"/>
      <w:r>
        <w:t xml:space="preserve"> u odnosu na prethodno </w:t>
      </w:r>
      <w:r>
        <w:t>izvještajno razdoblje iz razloga povećanja visine naknade po ugovorima o povjerenim poslovima pružateljima povjerenih poslova za potrebe tijela u zatvorskom sustavu, te iz razloga povećanja broja pružatelja povjerenih poslova.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26.673,20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- u iznosu od 26.673,20 </w:t>
      </w:r>
      <w:proofErr w:type="spellStart"/>
      <w:r>
        <w:t>eur</w:t>
      </w:r>
      <w:proofErr w:type="spellEnd"/>
      <w:r>
        <w:t xml:space="preserve">  - obveze </w:t>
      </w:r>
      <w:r>
        <w:t>za bolovanja na teret HZZO-a.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P231 do P239)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4.342.032,24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Šifra 23- Podmirene obveze za rashode poslovanja iznose 4.342.032,24 </w:t>
      </w:r>
      <w:proofErr w:type="spellStart"/>
      <w:r>
        <w:t>eur</w:t>
      </w:r>
      <w:proofErr w:type="spellEnd"/>
      <w:r>
        <w:t xml:space="preserve"> te se </w:t>
      </w:r>
      <w:r>
        <w:t xml:space="preserve">sastoje od obveza za zaposlene u iznosu od 3.646.897,66 </w:t>
      </w:r>
      <w:proofErr w:type="spellStart"/>
      <w:r>
        <w:t>eur</w:t>
      </w:r>
      <w:proofErr w:type="spellEnd"/>
      <w:r>
        <w:t xml:space="preserve">, obveza za materijalne rashode u iznosu od 692.739,17 </w:t>
      </w:r>
      <w:proofErr w:type="spellStart"/>
      <w:r>
        <w:t>eur</w:t>
      </w:r>
      <w:proofErr w:type="spellEnd"/>
      <w:r>
        <w:t xml:space="preserve">, obveza za financijske rashode u iznosu od 2.395,41 </w:t>
      </w:r>
      <w:proofErr w:type="spellStart"/>
      <w:r>
        <w:t>eur</w:t>
      </w:r>
      <w:proofErr w:type="spellEnd"/>
      <w:r>
        <w:t>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6E4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>Zatvorska bolnica u Zagrebu na dan 30. rujna 2025. godine nema dospjelih obveza.</w:t>
      </w:r>
    </w:p>
    <w:p w:rsidR="006E47B6" w:rsidRDefault="006E47B6"/>
    <w:p w:rsidR="006E47B6" w:rsidRDefault="00D562E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6E47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E47B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6E47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441.101,70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E47B6" w:rsidRDefault="00D562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E47B6" w:rsidRDefault="006E47B6">
      <w:pPr>
        <w:spacing w:after="0"/>
      </w:pPr>
    </w:p>
    <w:p w:rsidR="006E47B6" w:rsidRDefault="00D562E7">
      <w:pPr>
        <w:spacing w:line="240" w:lineRule="auto"/>
        <w:jc w:val="both"/>
      </w:pPr>
      <w:r>
        <w:t xml:space="preserve">Stanje nedospjelih obveza na kraju izvještajnog razdoblja - u iznosu od 441.101,70 - odnose se na obračun plaća, prijevoza i </w:t>
      </w:r>
      <w:r>
        <w:t>ostalih rashoda za zaposlene za mjesec rujan 2025. godine te obveze prema dobavljačima.</w:t>
      </w:r>
    </w:p>
    <w:p w:rsidR="006E47B6" w:rsidRDefault="006E47B6"/>
    <w:sectPr w:rsidR="006E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B6"/>
    <w:rsid w:val="006E47B6"/>
    <w:rsid w:val="00D5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40959-3591-4C14-A23F-6D9F4BCC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Pušeljić</dc:creator>
  <cp:lastModifiedBy>Marjana Pušeljić</cp:lastModifiedBy>
  <cp:revision>2</cp:revision>
  <dcterms:created xsi:type="dcterms:W3CDTF">2025-10-10T15:00:00Z</dcterms:created>
  <dcterms:modified xsi:type="dcterms:W3CDTF">2025-10-10T15:00:00Z</dcterms:modified>
</cp:coreProperties>
</file>